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A9" w:rsidRDefault="00D4002E" w:rsidP="00AA39C0">
      <w:pPr>
        <w:jc w:val="center"/>
        <w:rPr>
          <w:rFonts w:eastAsia="Times New Roman" w:cs="Times New Roman"/>
        </w:rPr>
      </w:pPr>
      <w:r w:rsidRPr="00BC2398">
        <w:rPr>
          <w:rFonts w:ascii="华文中宋" w:eastAsia="华文中宋" w:hAnsi="华文中宋" w:cs="黑体" w:hint="eastAsia"/>
          <w:b/>
          <w:bCs/>
          <w:sz w:val="32"/>
          <w:szCs w:val="32"/>
        </w:rPr>
        <w:t>河北工程大学</w:t>
      </w:r>
      <w:r w:rsidR="00F517A9" w:rsidRPr="00BC2398">
        <w:rPr>
          <w:rFonts w:ascii="华文中宋" w:eastAsia="华文中宋" w:hAnsi="华文中宋" w:cs="黑体" w:hint="eastAsia"/>
          <w:b/>
          <w:bCs/>
          <w:sz w:val="32"/>
          <w:szCs w:val="32"/>
        </w:rPr>
        <w:t>科技成果转化工作流程</w:t>
      </w:r>
      <w:bookmarkStart w:id="0" w:name="OLE_LINK1"/>
      <w:bookmarkStart w:id="1" w:name="OLE_LINK2"/>
      <w:r w:rsidR="006F6144">
        <w:rPr>
          <w:rFonts w:ascii="华文中宋" w:eastAsia="华文中宋" w:hAnsi="华文中宋" w:cs="黑体" w:hint="eastAsia"/>
          <w:b/>
          <w:bCs/>
          <w:sz w:val="32"/>
          <w:szCs w:val="32"/>
        </w:rPr>
        <w:t>图</w:t>
      </w:r>
      <w:r w:rsidR="00AA39C0">
        <w:rPr>
          <w:rFonts w:ascii="华文中宋" w:eastAsia="华文中宋" w:hAnsi="华文中宋" w:cs="黑体" w:hint="eastAsia"/>
          <w:b/>
          <w:bCs/>
          <w:sz w:val="32"/>
          <w:szCs w:val="32"/>
        </w:rPr>
        <w:t>（试行）</w:t>
      </w:r>
      <w:r w:rsidR="00EF6618">
        <w:rPr>
          <w:rFonts w:cs="Times New Roman"/>
        </w:rPr>
      </w:r>
      <w:r w:rsidR="00EF6618">
        <w:rPr>
          <w:rFonts w:cs="Times New Roman"/>
        </w:rPr>
        <w:pict>
          <v:group id="_x0000_s1026" editas="canvas" style="width:415.3pt;height:636.15pt;mso-position-horizontal-relative:char;mso-position-vertical-relative:line" coordorigin="1800,2341" coordsize="8306,127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2341;width:8306;height:12723" o:preferrelative="f">
              <v:fill o:detectmouseclick="t"/>
              <v:path o:extrusionok="t" o:connecttype="none"/>
              <o:lock v:ext="edit" text="t"/>
            </v:shape>
            <v:rect id="_x0000_s1081" style="position:absolute;left:5551;top:5310;width:708;height:388;v-text-anchor:middle" strokecolor="white">
              <v:textbox style="mso-next-textbox:#_x0000_s1081" inset="0,0,0,0">
                <w:txbxContent>
                  <w:p w:rsidR="00B61080" w:rsidRDefault="00B61080" w:rsidP="00053C78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不通过</w:t>
                    </w:r>
                  </w:p>
                </w:txbxContent>
              </v:textbox>
            </v:rect>
            <v:roundrect id="_x0000_s1028" style="position:absolute;left:3031;top:2394;width:2700;height:480" arcsize="10923f">
              <v:textbox style="mso-next-textbox:#_x0000_s1028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拟转化科技成果申请登记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3488;top:6803;width:1794;height:689">
              <v:textbox style="mso-next-textbox:#_x0000_s1029">
                <w:txbxContent>
                  <w:p w:rsidR="00F517A9" w:rsidRDefault="00F517A9" w:rsidP="00C95EB6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公</w:t>
                    </w:r>
                    <w:r>
                      <w:t xml:space="preserve">  </w:t>
                    </w:r>
                    <w:r>
                      <w:rPr>
                        <w:rFonts w:cs="宋体" w:hint="eastAsia"/>
                      </w:rPr>
                      <w:t>示</w:t>
                    </w:r>
                  </w:p>
                </w:txbxContent>
              </v:textbox>
            </v:shape>
            <v:rect id="_x0000_s1030" style="position:absolute;left:2078;top:5109;width:210;height:885;v-text-anchor:middle" strokecolor="white">
              <v:textbox style="mso-next-textbox:#_x0000_s1030" inset="0,0,0,0">
                <w:txbxContent>
                  <w:p w:rsidR="00F517A9" w:rsidRDefault="00F517A9" w:rsidP="00053C78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有异议</w:t>
                    </w:r>
                  </w:p>
                </w:txbxContent>
              </v:textbox>
            </v:rect>
            <v:rect id="_x0000_s1031" style="position:absolute;left:4696;top:6204;width:300;height:601;v-text-anchor:middle" strokecolor="white">
              <v:textbox style="mso-next-textbox:#_x0000_s1031" inset="0,0,0,0">
                <w:txbxContent>
                  <w:p w:rsidR="00F517A9" w:rsidRDefault="00F517A9" w:rsidP="00053C78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通过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019;top:2341;width:2701;height:781" strokecolor="gray">
              <v:stroke dashstyle="dash"/>
              <v:textbox style="mso-next-textbox:#_x0000_s1032">
                <w:txbxContent>
                  <w:p w:rsidR="00F517A9" w:rsidRPr="000C08A3" w:rsidRDefault="00F517A9" w:rsidP="00053C78">
                    <w:pPr>
                      <w:jc w:val="left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申请人到技术转移中心填写登记表。</w:t>
                    </w:r>
                  </w:p>
                </w:txbxContent>
              </v:textbox>
            </v:shape>
            <v:shape id="_x0000_s1034" type="#_x0000_t202" style="position:absolute;left:7019;top:6592;width:2721;height:1065" strokecolor="gray">
              <v:stroke dashstyle="dash"/>
              <v:textbox style="mso-next-textbox:#_x0000_s1034">
                <w:txbxContent>
                  <w:p w:rsidR="00F517A9" w:rsidRPr="000C08A3" w:rsidRDefault="00F517A9" w:rsidP="00053C78">
                    <w:pPr>
                      <w:jc w:val="left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公示表，包括成果来源、资金、简介、拟交易价格、成果拥有者及单位、受让单位或个人。</w:t>
                    </w:r>
                  </w:p>
                </w:txbxContent>
              </v:textbox>
            </v:shape>
            <v:shape id="_x0000_s1036" type="#_x0000_t202" style="position:absolute;left:7019;top:12718;width:2721;height:1102" strokecolor="gray">
              <v:stroke dashstyle="dash"/>
              <v:textbox style="mso-next-textbox:#_x0000_s1036">
                <w:txbxContent>
                  <w:p w:rsidR="00F517A9" w:rsidRPr="000C08A3" w:rsidRDefault="00F517A9" w:rsidP="00053C78">
                    <w:pPr>
                      <w:rPr>
                        <w:rFonts w:ascii="宋体"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按照科技成果转化所获得的现金收益提取办法，</w:t>
                    </w: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填写现金收益处置单。</w:t>
                    </w:r>
                  </w:p>
                </w:txbxContent>
              </v:textbox>
            </v:shape>
            <v:shape id="_x0000_s1037" type="#_x0000_t202" style="position:absolute;left:7019;top:10533;width:2721;height:810" strokecolor="gray">
              <v:stroke dashstyle="dash"/>
              <v:textbox style="mso-next-textbox:#_x0000_s1037">
                <w:txbxContent>
                  <w:p w:rsidR="00F517A9" w:rsidRPr="000C08A3" w:rsidRDefault="00F517A9" w:rsidP="00053C78"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ascii="Times New Roman" w:hAnsi="Times New Roman" w:cs="宋体" w:hint="eastAsia"/>
                        <w:sz w:val="18"/>
                        <w:szCs w:val="18"/>
                      </w:rPr>
                      <w:t>技术转移中心确认经费负责人。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4385;top:7492;width:1;height:601" o:connectortype="straight">
              <v:stroke endarrow="block"/>
            </v:shape>
            <v:shape id="_x0000_s1039" type="#_x0000_t32" style="position:absolute;left:4385;top:8557;width:1;height:433" o:connectortype="straight">
              <v:stroke endarrow="block"/>
            </v:shape>
            <v:shape id="_x0000_s1040" type="#_x0000_t32" style="position:absolute;left:4385;top:9454;width:1;height:419" o:connectortype="straight">
              <v:stroke endarrow="block"/>
            </v:shape>
            <v:shape id="_x0000_s1041" type="#_x0000_t32" style="position:absolute;left:4384;top:10355;width:1;height:342" o:connectortype="straight">
              <v:stroke endarrow="block"/>
            </v:shape>
            <v:shape id="_x0000_s1042" type="#_x0000_t32" style="position:absolute;left:4377;top:11159;width:8;height:508;flip:x" o:connectortype="straight">
              <v:stroke endarrow="block"/>
            </v:shape>
            <v:shape id="_x0000_s1043" type="#_x0000_t32" style="position:absolute;left:4370;top:12413;width:7;height:624;flip:x" o:connectortype="straight">
              <v:stroke endarrow="block"/>
            </v:shape>
            <v:shape id="_x0000_s1044" type="#_x0000_t32" style="position:absolute;left:4370;top:13282;width:14;height:550;flip:x" o:connectortype="straight">
              <v:stroke endarrow="block"/>
            </v:shape>
            <v:shape id="_x0000_s1045" type="#_x0000_t32" style="position:absolute;left:4384;top:5923;width:1;height:880" o:connectortype="straight">
              <v:stroke endarrow="block"/>
            </v:shape>
            <v:shape id="_x0000_s1046" type="#_x0000_t32" style="position:absolute;left:4381;top:2884;width:5;height:313;flip:x" o:connectortype="straight">
              <v:stroke endarrow="block"/>
            </v:shape>
            <v:shape id="_x0000_s1047" type="#_x0000_t32" style="position:absolute;left:5549;top:7147;width:1302;height:1" o:connectortype="straight" strokecolor="gray"/>
            <v:shape id="_x0000_s1048" type="#_x0000_t32" style="position:absolute;left:5785;top:2631;width:1001;height:1" o:connectortype="straight" strokecolor="gray"/>
            <v:shape id="_x0000_s1050" type="#_x0000_t32" style="position:absolute;left:6238;top:10938;width:613;height:1" o:connectortype="straight" strokecolor="gray"/>
            <v:shape id="_x0000_s1051" type="#_x0000_t32" style="position:absolute;left:6049;top:13288;width:802;height:1" o:connectortype="straight" strokecolor="gray"/>
            <v:shape id="_x0000_s1052" type="#_x0000_t202" style="position:absolute;left:7019;top:11523;width:2721;height:1037" strokecolor="gray">
              <v:stroke dashstyle="dash"/>
              <v:textbox style="mso-next-textbox:#_x0000_s1052">
                <w:txbxContent>
                  <w:p w:rsidR="00F517A9" w:rsidRPr="000C08A3" w:rsidRDefault="00F517A9" w:rsidP="00053C78">
                    <w:pPr>
                      <w:rPr>
                        <w:rFonts w:ascii="宋体"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转化过程的成本包括税费和成本支出费用（我校科研经费管理办法中可以列支的费用）。</w:t>
                    </w:r>
                  </w:p>
                </w:txbxContent>
              </v:textbox>
            </v:shape>
            <v:shape id="_x0000_s1053" type="#_x0000_t32" style="position:absolute;left:5785;top:12036;width:1066;height:1" o:connectortype="straight" strokecolor="gray"/>
            <v:shape id="_x0000_s1054" type="#_x0000_t202" style="position:absolute;left:7025;top:9862;width:2721;height:493" strokecolor="gray">
              <v:stroke dashstyle="dash"/>
              <v:textbox style="mso-next-textbox:#_x0000_s1054">
                <w:txbxContent>
                  <w:p w:rsidR="00F517A9" w:rsidRPr="000C08A3" w:rsidRDefault="00F517A9" w:rsidP="00053C78"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ascii="Times New Roman" w:hAnsi="Times New Roman" w:cs="宋体" w:hint="eastAsia"/>
                        <w:sz w:val="18"/>
                        <w:szCs w:val="18"/>
                      </w:rPr>
                      <w:t>缴纳印花税和企业所得税。</w:t>
                    </w:r>
                  </w:p>
                </w:txbxContent>
              </v:textbox>
            </v:shape>
            <v:shape id="_x0000_s1055" type="#_x0000_t32" style="position:absolute;left:6629;top:10114;width:228;height:1" o:connectortype="straight" strokecolor="gray"/>
            <v:shape id="_x0000_s1056" type="#_x0000_t110" style="position:absolute;left:3488;top:5325;width:1794;height:689">
              <v:textbox style="mso-next-textbox:#_x0000_s1056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审</w:t>
                    </w:r>
                    <w:r>
                      <w:t xml:space="preserve"> </w:t>
                    </w:r>
                    <w:r>
                      <w:rPr>
                        <w:rFonts w:cs="宋体" w:hint="eastAsia"/>
                      </w:rPr>
                      <w:t>核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8" type="#_x0000_t109" style="position:absolute;left:3010;top:3197;width:2742;height:464">
              <v:textbox style="mso-next-textbox:#_x0000_s1058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确定科技成果转化形式</w:t>
                    </w:r>
                  </w:p>
                  <w:p w:rsidR="00F517A9" w:rsidRDefault="00F517A9" w:rsidP="00053C7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59" type="#_x0000_t109" style="position:absolute;left:2789;top:4208;width:3184;height:464">
              <v:textbox style="mso-next-textbox:#_x0000_s1059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确定科技成果定价方式</w:t>
                    </w:r>
                    <w:r w:rsidR="00D27B6C">
                      <w:rPr>
                        <w:rFonts w:cs="宋体" w:hint="eastAsia"/>
                      </w:rPr>
                      <w:t>及定价</w:t>
                    </w:r>
                  </w:p>
                  <w:p w:rsidR="00F517A9" w:rsidRDefault="00F517A9" w:rsidP="00053C7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60" type="#_x0000_t109" style="position:absolute;left:3511;top:8093;width:1747;height:464">
              <v:textbox style="mso-next-textbox:#_x0000_s1060">
                <w:txbxContent>
                  <w:p w:rsidR="00F517A9" w:rsidRDefault="00AC131C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签订合同</w:t>
                    </w:r>
                  </w:p>
                </w:txbxContent>
              </v:textbox>
            </v:shape>
            <v:shape id="_x0000_s1061" type="#_x0000_t109" style="position:absolute;left:2539;top:8990;width:3691;height:464">
              <v:textbox style="mso-next-textbox:#_x0000_s1061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技术转移中心到技术市场认定登记</w:t>
                    </w:r>
                  </w:p>
                  <w:p w:rsidR="00F517A9" w:rsidRPr="00980EAF" w:rsidRDefault="00F517A9" w:rsidP="00053C7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62" type="#_x0000_t109" style="position:absolute;left:2264;top:9878;width:4245;height:464">
              <v:textbox style="mso-next-textbox:#_x0000_s1062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项目负责人持免税证明到财务处开具发票</w:t>
                    </w:r>
                  </w:p>
                  <w:p w:rsidR="00F517A9" w:rsidRPr="00980EAF" w:rsidRDefault="00F517A9" w:rsidP="00053C7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63" type="#_x0000_t109" style="position:absolute;left:2721;top:10695;width:3328;height:464">
              <v:textbox style="mso-next-textbox:#_x0000_s1063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经费到账后办理经费建账通知单</w:t>
                    </w:r>
                  </w:p>
                  <w:p w:rsidR="00F517A9" w:rsidRPr="00980EAF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</w:p>
                  <w:p w:rsidR="00F517A9" w:rsidRPr="00980EAF" w:rsidRDefault="00F517A9" w:rsidP="00053C7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64" type="#_x0000_t109" style="position:absolute;left:3298;top:11667;width:2158;height:746;v-text-anchor:middle">
              <v:textbox style="mso-next-textbox:#_x0000_s1064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项目负责人核算成果转化过程的成本</w:t>
                    </w:r>
                  </w:p>
                </w:txbxContent>
              </v:textbox>
            </v:shape>
            <v:shape id="_x0000_s1065" type="#_x0000_t109" style="position:absolute;left:2811;top:13037;width:3118;height:464">
              <v:textbox style="mso-next-textbox:#_x0000_s1065">
                <w:txbxContent>
                  <w:p w:rsidR="00F517A9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科技</w:t>
                    </w:r>
                    <w:r w:rsidR="00065D2F">
                      <w:rPr>
                        <w:rFonts w:cs="宋体" w:hint="eastAsia"/>
                      </w:rPr>
                      <w:t>成果</w:t>
                    </w:r>
                    <w:r>
                      <w:rPr>
                        <w:rFonts w:cs="宋体" w:hint="eastAsia"/>
                      </w:rPr>
                      <w:t>转化收益核算与分配</w:t>
                    </w:r>
                  </w:p>
                  <w:p w:rsidR="00F517A9" w:rsidRPr="00980EAF" w:rsidRDefault="00F517A9" w:rsidP="00053C78">
                    <w:pPr>
                      <w:jc w:val="center"/>
                      <w:rPr>
                        <w:rFonts w:cs="Times New Roman"/>
                      </w:rPr>
                    </w:pPr>
                  </w:p>
                  <w:p w:rsidR="00F517A9" w:rsidRPr="00980EAF" w:rsidRDefault="00F517A9" w:rsidP="00053C7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69" type="#_x0000_t202" style="position:absolute;left:7019;top:3709;width:2701;height:469" strokecolor="gray">
              <v:stroke dashstyle="dash"/>
              <v:textbox style="mso-next-textbox:#_x0000_s1069">
                <w:txbxContent>
                  <w:p w:rsidR="00F517A9" w:rsidRDefault="00F517A9" w:rsidP="00053C78">
                    <w:pPr>
                      <w:jc w:val="left"/>
                      <w:rPr>
                        <w:rFonts w:cs="Times New Roman"/>
                      </w:rPr>
                    </w:pP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申请人自行确定</w:t>
                    </w:r>
                    <w:r w:rsidR="00D27B6C">
                      <w:rPr>
                        <w:rFonts w:cs="宋体" w:hint="eastAsia"/>
                      </w:rPr>
                      <w:t>。</w:t>
                    </w:r>
                  </w:p>
                </w:txbxContent>
              </v:textbox>
            </v:shape>
            <v:shape id="_x0000_s1070" type="#_x0000_t202" style="position:absolute;left:7020;top:5249;width:2701;height:780" strokecolor="gray">
              <v:stroke dashstyle="dash"/>
              <v:textbox style="mso-next-textbox:#_x0000_s1070">
                <w:txbxContent>
                  <w:p w:rsidR="00F517A9" w:rsidRPr="000C08A3" w:rsidRDefault="00F517A9" w:rsidP="00053C78">
                    <w:pPr>
                      <w:jc w:val="left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科转办、</w:t>
                    </w:r>
                    <w:r w:rsidRPr="000C08A3">
                      <w:rPr>
                        <w:rFonts w:cs="宋体" w:hint="eastAsia"/>
                        <w:color w:val="000000"/>
                        <w:sz w:val="18"/>
                        <w:szCs w:val="18"/>
                      </w:rPr>
                      <w:t>科技成果转移转化领导小组</w:t>
                    </w:r>
                    <w:r>
                      <w:rPr>
                        <w:rFonts w:cs="宋体" w:hint="eastAsia"/>
                        <w:color w:val="000000"/>
                        <w:sz w:val="18"/>
                        <w:szCs w:val="18"/>
                      </w:rPr>
                      <w:t>、</w:t>
                    </w:r>
                    <w:r w:rsidRPr="000C08A3">
                      <w:rPr>
                        <w:rFonts w:cs="宋体" w:hint="eastAsia"/>
                        <w:color w:val="000000"/>
                        <w:sz w:val="18"/>
                        <w:szCs w:val="18"/>
                      </w:rPr>
                      <w:t>校长办公会</w:t>
                    </w:r>
                    <w:r w:rsidR="00D27B6C">
                      <w:rPr>
                        <w:rFonts w:cs="宋体" w:hint="eastAsia"/>
                        <w:color w:val="000000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v:shape id="_x0000_s1071" type="#_x0000_t32" style="position:absolute;left:6388;top:5655;width:452;height:1" o:connectortype="straight" strokecolor="gray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73" type="#_x0000_t88" style="position:absolute;left:6388;top:3409;width:358;height:1093" strokecolor="#7f7f7f"/>
            <v:shape id="_x0000_s1075" type="#_x0000_t32" style="position:absolute;left:4381;top:4672;width:4;height:653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8" type="#_x0000_t34" style="position:absolute;left:3010;top:3429;width:478;height:3719;rotation:180" o:connectortype="elbow" adj="37868,-40093,-157617">
              <v:stroke endarrow="block"/>
            </v:shape>
            <v:shape id="_x0000_s1080" type="#_x0000_t34" style="position:absolute;left:5282;top:4440;width:691;height:1230;flip:y" o:connectortype="elbow" adj="32853,95268,-165110">
              <v:stroke endarrow="block"/>
            </v:shape>
            <v:roundrect id="_x0000_s1087" style="position:absolute;left:3754;top:14582;width:1257;height:482" arcsize="10923f">
              <v:textbox style="mso-next-textbox:#_x0000_s1087">
                <w:txbxContent>
                  <w:p w:rsidR="00AC131C" w:rsidRDefault="00AC131C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备</w:t>
                    </w:r>
                    <w:r w:rsidR="00C95EB6">
                      <w:rPr>
                        <w:rFonts w:cs="宋体" w:hint="eastAsia"/>
                      </w:rPr>
                      <w:t xml:space="preserve"> </w:t>
                    </w:r>
                    <w:r>
                      <w:rPr>
                        <w:rFonts w:cs="宋体" w:hint="eastAsia"/>
                      </w:rPr>
                      <w:t>案</w:t>
                    </w:r>
                  </w:p>
                </w:txbxContent>
              </v:textbox>
            </v:roundrect>
            <v:shape id="_x0000_s1088" type="#_x0000_t32" style="position:absolute;left:4383;top:14299;width:2;height:283;flip:x" o:connectortype="straight">
              <v:stroke endarrow="block"/>
            </v:shape>
            <v:shape id="_x0000_s1089" type="#_x0000_t109" style="position:absolute;left:2976;top:13832;width:2788;height:464">
              <v:textbox style="mso-next-textbox:#_x0000_s1089">
                <w:txbxContent>
                  <w:p w:rsidR="0049083D" w:rsidRPr="00980EAF" w:rsidRDefault="0049083D" w:rsidP="00053C78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财务处办理收益分配手续</w:t>
                    </w:r>
                  </w:p>
                </w:txbxContent>
              </v:textbox>
            </v:shape>
            <v:shape id="_x0000_s1090" type="#_x0000_t202" style="position:absolute;left:7000;top:13996;width:2721;height:1024" strokecolor="gray">
              <v:stroke dashstyle="dash"/>
              <v:textbox style="mso-next-textbox:#_x0000_s1090">
                <w:txbxContent>
                  <w:p w:rsidR="00053C78" w:rsidRPr="000C08A3" w:rsidRDefault="00053C78" w:rsidP="00053C78"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 w:rsidRPr="000C08A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份合同，</w:t>
                    </w:r>
                    <w:proofErr w:type="gramStart"/>
                    <w:r>
                      <w:rPr>
                        <w:rFonts w:cs="宋体" w:hint="eastAsia"/>
                        <w:sz w:val="18"/>
                        <w:szCs w:val="18"/>
                      </w:rPr>
                      <w:t>备案</w:t>
                    </w: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表交技术</w:t>
                    </w:r>
                    <w:proofErr w:type="gramEnd"/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转移中心，作价入股</w:t>
                    </w:r>
                    <w:r w:rsidR="00BC2398">
                      <w:rPr>
                        <w:rFonts w:cs="宋体" w:hint="eastAsia"/>
                        <w:sz w:val="18"/>
                        <w:szCs w:val="18"/>
                      </w:rPr>
                      <w:t>情况</w:t>
                    </w: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向</w:t>
                    </w:r>
                    <w:r w:rsidR="00BC2398">
                      <w:rPr>
                        <w:rFonts w:cs="宋体" w:hint="eastAsia"/>
                        <w:sz w:val="18"/>
                        <w:szCs w:val="18"/>
                      </w:rPr>
                      <w:t>国有</w:t>
                    </w:r>
                    <w:r w:rsidRPr="000C08A3">
                      <w:rPr>
                        <w:rFonts w:cs="宋体" w:hint="eastAsia"/>
                        <w:sz w:val="18"/>
                        <w:szCs w:val="18"/>
                      </w:rPr>
                      <w:t>资产处报备。</w:t>
                    </w:r>
                  </w:p>
                </w:txbxContent>
              </v:textbox>
            </v:shape>
            <v:shape id="_x0000_s1091" type="#_x0000_t32" style="position:absolute;left:5162;top:14818;width:1658;height:1" o:connectortype="straight" strokecolor="gray"/>
            <v:shape id="_x0000_s1093" type="#_x0000_t32" style="position:absolute;left:4381;top:3661;width:1;height:547" o:connectortype="straight">
              <v:stroke endarrow="block"/>
            </v:shape>
            <w10:wrap type="none"/>
            <w10:anchorlock/>
          </v:group>
        </w:pict>
      </w:r>
      <w:bookmarkEnd w:id="0"/>
      <w:bookmarkEnd w:id="1"/>
    </w:p>
    <w:p w:rsidR="00F517A9" w:rsidRDefault="00F517A9" w:rsidP="005D119E">
      <w:pPr>
        <w:spacing w:line="20" w:lineRule="exact"/>
        <w:jc w:val="center"/>
        <w:rPr>
          <w:rFonts w:cs="Times New Roman"/>
        </w:rPr>
      </w:pPr>
    </w:p>
    <w:p w:rsidR="006D502F" w:rsidRPr="00A61C57" w:rsidRDefault="00A2077E" w:rsidP="00697176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t xml:space="preserve">   </w:t>
      </w:r>
      <w:bookmarkStart w:id="2" w:name="_GoBack"/>
      <w:bookmarkEnd w:id="2"/>
    </w:p>
    <w:sectPr w:rsidR="006D502F" w:rsidRPr="00A61C57" w:rsidSect="00AE1E68">
      <w:head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8" w:rsidRDefault="00EF6618" w:rsidP="00BC31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6618" w:rsidRDefault="00EF6618" w:rsidP="00BC31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8" w:rsidRDefault="00EF6618" w:rsidP="00BC31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6618" w:rsidRDefault="00EF6618" w:rsidP="00BC31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7E" w:rsidRPr="00A2077E" w:rsidRDefault="00A2077E" w:rsidP="00B81F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B06"/>
    <w:multiLevelType w:val="hybridMultilevel"/>
    <w:tmpl w:val="4F945F66"/>
    <w:lvl w:ilvl="0" w:tplc="3B56D3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A02E61"/>
    <w:multiLevelType w:val="hybridMultilevel"/>
    <w:tmpl w:val="7F4E73E4"/>
    <w:lvl w:ilvl="0" w:tplc="211C7C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B37936"/>
    <w:multiLevelType w:val="hybridMultilevel"/>
    <w:tmpl w:val="10E69E12"/>
    <w:lvl w:ilvl="0" w:tplc="81005C02">
      <w:start w:val="1"/>
      <w:numFmt w:val="decimal"/>
      <w:lvlText w:val="%1、"/>
      <w:lvlJc w:val="left"/>
      <w:pPr>
        <w:ind w:left="981" w:hanging="420"/>
      </w:pPr>
      <w:rPr>
        <w:rFonts w:ascii="仿宋" w:eastAsia="仿宋" w:hAnsi="仿宋" w:cs="宋体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3">
    <w:nsid w:val="3E2E20EB"/>
    <w:multiLevelType w:val="hybridMultilevel"/>
    <w:tmpl w:val="82DA5520"/>
    <w:lvl w:ilvl="0" w:tplc="62A84ACA">
      <w:start w:val="1"/>
      <w:numFmt w:val="decimal"/>
      <w:lvlText w:val="%1、"/>
      <w:lvlJc w:val="left"/>
      <w:pPr>
        <w:ind w:left="72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E9334CD"/>
    <w:multiLevelType w:val="hybridMultilevel"/>
    <w:tmpl w:val="C06208A0"/>
    <w:lvl w:ilvl="0" w:tplc="A920AF9E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5D2351"/>
    <w:multiLevelType w:val="hybridMultilevel"/>
    <w:tmpl w:val="8A2E87EE"/>
    <w:lvl w:ilvl="0" w:tplc="4F0833C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CEE4E8F"/>
    <w:multiLevelType w:val="hybridMultilevel"/>
    <w:tmpl w:val="287A209E"/>
    <w:lvl w:ilvl="0" w:tplc="0409000F">
      <w:start w:val="1"/>
      <w:numFmt w:val="decimal"/>
      <w:lvlText w:val="%1.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7">
    <w:nsid w:val="6264549E"/>
    <w:multiLevelType w:val="hybridMultilevel"/>
    <w:tmpl w:val="1C9AB906"/>
    <w:lvl w:ilvl="0" w:tplc="DABE6D14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C25CA4"/>
    <w:multiLevelType w:val="hybridMultilevel"/>
    <w:tmpl w:val="033A3BD4"/>
    <w:lvl w:ilvl="0" w:tplc="A2BA266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>
    <w:nsid w:val="74E54745"/>
    <w:multiLevelType w:val="hybridMultilevel"/>
    <w:tmpl w:val="4E94F128"/>
    <w:lvl w:ilvl="0" w:tplc="E376C94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12F"/>
    <w:rsid w:val="00011536"/>
    <w:rsid w:val="00036896"/>
    <w:rsid w:val="000452CC"/>
    <w:rsid w:val="00046B3F"/>
    <w:rsid w:val="00053C78"/>
    <w:rsid w:val="00065D2F"/>
    <w:rsid w:val="00094609"/>
    <w:rsid w:val="000A4324"/>
    <w:rsid w:val="000C08A3"/>
    <w:rsid w:val="000D3D66"/>
    <w:rsid w:val="001155CB"/>
    <w:rsid w:val="00120DE6"/>
    <w:rsid w:val="00131974"/>
    <w:rsid w:val="00133DA8"/>
    <w:rsid w:val="001406F2"/>
    <w:rsid w:val="0016064B"/>
    <w:rsid w:val="00162ED7"/>
    <w:rsid w:val="00166014"/>
    <w:rsid w:val="00180134"/>
    <w:rsid w:val="0018440F"/>
    <w:rsid w:val="0019729F"/>
    <w:rsid w:val="001A1AD7"/>
    <w:rsid w:val="002065E6"/>
    <w:rsid w:val="00210D91"/>
    <w:rsid w:val="002171F7"/>
    <w:rsid w:val="00246717"/>
    <w:rsid w:val="00270522"/>
    <w:rsid w:val="00271323"/>
    <w:rsid w:val="00282914"/>
    <w:rsid w:val="002F53FB"/>
    <w:rsid w:val="003021F7"/>
    <w:rsid w:val="00311215"/>
    <w:rsid w:val="0031418C"/>
    <w:rsid w:val="003410A9"/>
    <w:rsid w:val="0036118C"/>
    <w:rsid w:val="003652FB"/>
    <w:rsid w:val="0038523B"/>
    <w:rsid w:val="00390F33"/>
    <w:rsid w:val="003B4192"/>
    <w:rsid w:val="003C75AD"/>
    <w:rsid w:val="003D4200"/>
    <w:rsid w:val="003D4B33"/>
    <w:rsid w:val="003E3EA8"/>
    <w:rsid w:val="003F20B5"/>
    <w:rsid w:val="00411806"/>
    <w:rsid w:val="00425DB8"/>
    <w:rsid w:val="00437DF6"/>
    <w:rsid w:val="00441138"/>
    <w:rsid w:val="00452B48"/>
    <w:rsid w:val="00463F68"/>
    <w:rsid w:val="00465DA3"/>
    <w:rsid w:val="00467CBA"/>
    <w:rsid w:val="0047184A"/>
    <w:rsid w:val="004735CE"/>
    <w:rsid w:val="004775DE"/>
    <w:rsid w:val="0048314E"/>
    <w:rsid w:val="00484B10"/>
    <w:rsid w:val="00486C30"/>
    <w:rsid w:val="0049083D"/>
    <w:rsid w:val="00500B55"/>
    <w:rsid w:val="0051515F"/>
    <w:rsid w:val="00521DB1"/>
    <w:rsid w:val="00527F91"/>
    <w:rsid w:val="00587E0E"/>
    <w:rsid w:val="005953E3"/>
    <w:rsid w:val="005A2162"/>
    <w:rsid w:val="005A5F90"/>
    <w:rsid w:val="005C08F9"/>
    <w:rsid w:val="005C4128"/>
    <w:rsid w:val="005D119E"/>
    <w:rsid w:val="005D660C"/>
    <w:rsid w:val="005E5570"/>
    <w:rsid w:val="00623526"/>
    <w:rsid w:val="00623A10"/>
    <w:rsid w:val="00634DE2"/>
    <w:rsid w:val="0063744E"/>
    <w:rsid w:val="0066374D"/>
    <w:rsid w:val="00697176"/>
    <w:rsid w:val="006A136D"/>
    <w:rsid w:val="006A1DDF"/>
    <w:rsid w:val="006B3734"/>
    <w:rsid w:val="006B6F04"/>
    <w:rsid w:val="006D502F"/>
    <w:rsid w:val="006F24C1"/>
    <w:rsid w:val="006F3E26"/>
    <w:rsid w:val="006F6144"/>
    <w:rsid w:val="00702399"/>
    <w:rsid w:val="00731894"/>
    <w:rsid w:val="00733A74"/>
    <w:rsid w:val="0074118A"/>
    <w:rsid w:val="00744D27"/>
    <w:rsid w:val="00745E13"/>
    <w:rsid w:val="00757B04"/>
    <w:rsid w:val="00761E5A"/>
    <w:rsid w:val="00762CEB"/>
    <w:rsid w:val="00765F65"/>
    <w:rsid w:val="00774651"/>
    <w:rsid w:val="007879D3"/>
    <w:rsid w:val="007C44B8"/>
    <w:rsid w:val="007E4776"/>
    <w:rsid w:val="007F63CD"/>
    <w:rsid w:val="00801F88"/>
    <w:rsid w:val="00804AC0"/>
    <w:rsid w:val="008259CA"/>
    <w:rsid w:val="00841D1C"/>
    <w:rsid w:val="00882EE1"/>
    <w:rsid w:val="008855FF"/>
    <w:rsid w:val="008C5A8E"/>
    <w:rsid w:val="008D1444"/>
    <w:rsid w:val="008E42B0"/>
    <w:rsid w:val="008E574A"/>
    <w:rsid w:val="008F60A8"/>
    <w:rsid w:val="008F6CAA"/>
    <w:rsid w:val="0090107F"/>
    <w:rsid w:val="009016F6"/>
    <w:rsid w:val="00911A14"/>
    <w:rsid w:val="00917A22"/>
    <w:rsid w:val="00925364"/>
    <w:rsid w:val="00930176"/>
    <w:rsid w:val="0094387A"/>
    <w:rsid w:val="009662AF"/>
    <w:rsid w:val="00980EAF"/>
    <w:rsid w:val="009A2B64"/>
    <w:rsid w:val="009B3D03"/>
    <w:rsid w:val="009C3744"/>
    <w:rsid w:val="009D44F8"/>
    <w:rsid w:val="009F7821"/>
    <w:rsid w:val="00A04A25"/>
    <w:rsid w:val="00A13716"/>
    <w:rsid w:val="00A2077E"/>
    <w:rsid w:val="00A35DCC"/>
    <w:rsid w:val="00A61C57"/>
    <w:rsid w:val="00A6424F"/>
    <w:rsid w:val="00A922F4"/>
    <w:rsid w:val="00A928E6"/>
    <w:rsid w:val="00A93E69"/>
    <w:rsid w:val="00A9472A"/>
    <w:rsid w:val="00A96141"/>
    <w:rsid w:val="00AA39C0"/>
    <w:rsid w:val="00AA434C"/>
    <w:rsid w:val="00AA6310"/>
    <w:rsid w:val="00AB2FC7"/>
    <w:rsid w:val="00AC131C"/>
    <w:rsid w:val="00AC21B1"/>
    <w:rsid w:val="00AC69F7"/>
    <w:rsid w:val="00AE1E68"/>
    <w:rsid w:val="00AE2AD5"/>
    <w:rsid w:val="00AF4782"/>
    <w:rsid w:val="00B02C03"/>
    <w:rsid w:val="00B11505"/>
    <w:rsid w:val="00B15BB6"/>
    <w:rsid w:val="00B31CC6"/>
    <w:rsid w:val="00B31D93"/>
    <w:rsid w:val="00B331E7"/>
    <w:rsid w:val="00B61080"/>
    <w:rsid w:val="00B81F2E"/>
    <w:rsid w:val="00B9678D"/>
    <w:rsid w:val="00BC1B3D"/>
    <w:rsid w:val="00BC2398"/>
    <w:rsid w:val="00BC312F"/>
    <w:rsid w:val="00BD1DFE"/>
    <w:rsid w:val="00BD4E9F"/>
    <w:rsid w:val="00BE2EDC"/>
    <w:rsid w:val="00C00AE6"/>
    <w:rsid w:val="00C611F4"/>
    <w:rsid w:val="00C66892"/>
    <w:rsid w:val="00C95EB6"/>
    <w:rsid w:val="00CC38CE"/>
    <w:rsid w:val="00CC57E0"/>
    <w:rsid w:val="00CD1E20"/>
    <w:rsid w:val="00CD3556"/>
    <w:rsid w:val="00CF6B61"/>
    <w:rsid w:val="00D02A6D"/>
    <w:rsid w:val="00D05C21"/>
    <w:rsid w:val="00D10E59"/>
    <w:rsid w:val="00D212A6"/>
    <w:rsid w:val="00D2372B"/>
    <w:rsid w:val="00D25815"/>
    <w:rsid w:val="00D27B6C"/>
    <w:rsid w:val="00D3341B"/>
    <w:rsid w:val="00D3506F"/>
    <w:rsid w:val="00D372E0"/>
    <w:rsid w:val="00D4002E"/>
    <w:rsid w:val="00D56A08"/>
    <w:rsid w:val="00D6391C"/>
    <w:rsid w:val="00D657DD"/>
    <w:rsid w:val="00D67E97"/>
    <w:rsid w:val="00D74D74"/>
    <w:rsid w:val="00D81CD7"/>
    <w:rsid w:val="00D85F5E"/>
    <w:rsid w:val="00DA316C"/>
    <w:rsid w:val="00DB6686"/>
    <w:rsid w:val="00DC0ACA"/>
    <w:rsid w:val="00DE2525"/>
    <w:rsid w:val="00E03A8B"/>
    <w:rsid w:val="00E13B1C"/>
    <w:rsid w:val="00E142B8"/>
    <w:rsid w:val="00E33457"/>
    <w:rsid w:val="00E34038"/>
    <w:rsid w:val="00E41999"/>
    <w:rsid w:val="00E6224A"/>
    <w:rsid w:val="00E75C36"/>
    <w:rsid w:val="00E843E3"/>
    <w:rsid w:val="00E859E7"/>
    <w:rsid w:val="00E90735"/>
    <w:rsid w:val="00E92B38"/>
    <w:rsid w:val="00E936CC"/>
    <w:rsid w:val="00E94A64"/>
    <w:rsid w:val="00E9638B"/>
    <w:rsid w:val="00EA7BFF"/>
    <w:rsid w:val="00EC103E"/>
    <w:rsid w:val="00ED612E"/>
    <w:rsid w:val="00EE69F9"/>
    <w:rsid w:val="00EF6618"/>
    <w:rsid w:val="00F07F4E"/>
    <w:rsid w:val="00F517A9"/>
    <w:rsid w:val="00F615DB"/>
    <w:rsid w:val="00F9073E"/>
    <w:rsid w:val="00FC0452"/>
    <w:rsid w:val="00FC3AC1"/>
    <w:rsid w:val="00FC7250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93">
          <o:proxy start="" idref="#_x0000_s1058" connectloc="2"/>
          <o:proxy end="" idref="#_x0000_s1059" connectloc="0"/>
        </o:r>
        <o:r id="V:Rule2" type="connector" idref="#_x0000_s1048"/>
        <o:r id="V:Rule3" type="connector" idref="#_x0000_s1071"/>
        <o:r id="V:Rule4" type="connector" idref="#_x0000_s1053"/>
        <o:r id="V:Rule5" type="connector" idref="#_x0000_s1075">
          <o:proxy start="" idref="#_x0000_s1059" connectloc="2"/>
          <o:proxy end="" idref="#_x0000_s1056" connectloc="0"/>
        </o:r>
        <o:r id="V:Rule6" type="connector" idref="#_x0000_s1044">
          <o:proxy end="" idref="#_x0000_s1089" connectloc="0"/>
        </o:r>
        <o:r id="V:Rule7" type="connector" idref="#_x0000_s1055"/>
        <o:r id="V:Rule8" type="connector" idref="#_x0000_s1046">
          <o:proxy end="" idref="#_x0000_s1058" connectloc="0"/>
        </o:r>
        <o:r id="V:Rule9" type="connector" idref="#_x0000_s1080">
          <o:proxy start="" idref="#_x0000_s1056" connectloc="3"/>
          <o:proxy end="" idref="#_x0000_s1059" connectloc="3"/>
        </o:r>
        <o:r id="V:Rule10" type="connector" idref="#_x0000_s1042">
          <o:proxy start="" idref="#_x0000_s1063" connectloc="2"/>
          <o:proxy end="" idref="#_x0000_s1064" connectloc="0"/>
        </o:r>
        <o:r id="V:Rule11" type="connector" idref="#_x0000_s1039">
          <o:proxy start="" idref="#_x0000_s1060" connectloc="2"/>
          <o:proxy end="" idref="#_x0000_s1061" connectloc="0"/>
        </o:r>
        <o:r id="V:Rule12" type="connector" idref="#_x0000_s1040">
          <o:proxy start="" idref="#_x0000_s1061" connectloc="2"/>
        </o:r>
        <o:r id="V:Rule13" type="connector" idref="#_x0000_s1043">
          <o:proxy start="" idref="#_x0000_s1064" connectloc="2"/>
          <o:proxy end="" idref="#_x0000_s1065" connectloc="0"/>
        </o:r>
        <o:r id="V:Rule14" type="connector" idref="#_x0000_s1088">
          <o:proxy end="" idref="#_x0000_s1087" connectloc="0"/>
        </o:r>
        <o:r id="V:Rule15" type="connector" idref="#_x0000_s1091"/>
        <o:r id="V:Rule16" type="connector" idref="#_x0000_s1078">
          <o:proxy start="" idref="#_x0000_s1029" connectloc="1"/>
          <o:proxy end="" idref="#_x0000_s1058" connectloc="1"/>
        </o:r>
        <o:r id="V:Rule17" type="connector" idref="#_x0000_s1041"/>
        <o:r id="V:Rule18" type="connector" idref="#_x0000_s1051"/>
        <o:r id="V:Rule19" type="connector" idref="#_x0000_s1050"/>
        <o:r id="V:Rule20" type="connector" idref="#_x0000_s1045">
          <o:proxy end="" idref="#_x0000_s1029" connectloc="0"/>
        </o:r>
        <o:r id="V:Rule21" type="connector" idref="#_x0000_s1047"/>
        <o:r id="V:Rule22" type="connector" idref="#_x0000_s1038">
          <o:proxy start="" idref="#_x0000_s1029" connectloc="2"/>
          <o:proxy end="" idref="#_x0000_s1060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BC312F"/>
    <w:rPr>
      <w:sz w:val="18"/>
      <w:szCs w:val="18"/>
    </w:rPr>
  </w:style>
  <w:style w:type="paragraph" w:styleId="a4">
    <w:name w:val="footer"/>
    <w:basedOn w:val="a"/>
    <w:link w:val="Char0"/>
    <w:uiPriority w:val="99"/>
    <w:rsid w:val="00BC312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C3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A7BFF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A7BFF"/>
    <w:rPr>
      <w:sz w:val="18"/>
      <w:szCs w:val="18"/>
    </w:rPr>
  </w:style>
  <w:style w:type="paragraph" w:styleId="a6">
    <w:name w:val="Normal (Web)"/>
    <w:basedOn w:val="a"/>
    <w:uiPriority w:val="99"/>
    <w:rsid w:val="000368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BF03-EBF3-4483-BF2F-F280D1D3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科技成果转化工作流程图 </dc:title>
  <dc:creator>l</dc:creator>
  <cp:lastModifiedBy>l</cp:lastModifiedBy>
  <cp:revision>7</cp:revision>
  <cp:lastPrinted>2016-03-24T02:05:00Z</cp:lastPrinted>
  <dcterms:created xsi:type="dcterms:W3CDTF">2016-04-27T16:51:00Z</dcterms:created>
  <dcterms:modified xsi:type="dcterms:W3CDTF">2016-04-28T00:16:00Z</dcterms:modified>
</cp:coreProperties>
</file>